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22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leftChars="0" w:right="1106" w:firstLine="0" w:firstLineChars="0"/>
        <w:jc w:val="center"/>
        <w:rPr>
          <w:b w:val="0"/>
          <w:bCs w:val="0"/>
          <w:color w:val="135194"/>
          <w:sz w:val="36"/>
          <w:szCs w:val="36"/>
        </w:rPr>
      </w:pPr>
      <w:r>
        <w:rPr>
          <w:rFonts w:hint="eastAsia"/>
          <w:b w:val="0"/>
          <w:bCs w:val="0"/>
          <w:i w:val="0"/>
          <w:iCs w:val="0"/>
          <w:caps w:val="0"/>
          <w:color w:val="135194"/>
          <w:spacing w:val="0"/>
          <w:sz w:val="36"/>
          <w:szCs w:val="36"/>
          <w:lang w:val="en-US" w:eastAsia="zh-CN"/>
        </w:rPr>
        <w:t xml:space="preserve">   </w:t>
      </w:r>
      <w:r>
        <w:rPr>
          <w:b w:val="0"/>
          <w:bCs w:val="0"/>
          <w:i w:val="0"/>
          <w:iCs w:val="0"/>
          <w:caps w:val="0"/>
          <w:color w:val="135194"/>
          <w:spacing w:val="0"/>
          <w:sz w:val="36"/>
          <w:szCs w:val="36"/>
        </w:rPr>
        <w:t>《文化和旅游部 公安部关于加强电竞酒店</w:t>
      </w:r>
    </w:p>
    <w:p w14:paraId="6BE4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leftChars="0" w:right="552" w:firstLine="0" w:firstLineChars="0"/>
        <w:jc w:val="center"/>
        <w:rPr>
          <w:b w:val="0"/>
          <w:bCs w:val="0"/>
          <w:i w:val="0"/>
          <w:iCs w:val="0"/>
          <w:caps w:val="0"/>
          <w:color w:val="135194"/>
          <w:spacing w:val="0"/>
          <w:sz w:val="36"/>
          <w:szCs w:val="36"/>
        </w:rPr>
      </w:pPr>
      <w:r>
        <w:rPr>
          <w:rFonts w:hint="eastAsia" w:ascii="宋体" w:hAnsi="宋体" w:eastAsia="宋体" w:cs="宋体"/>
          <w:b w:val="0"/>
          <w:bCs w:val="0"/>
          <w:i w:val="0"/>
          <w:iCs w:val="0"/>
          <w:caps w:val="0"/>
          <w:color w:val="135194"/>
          <w:spacing w:val="0"/>
          <w:kern w:val="0"/>
          <w:sz w:val="36"/>
          <w:szCs w:val="36"/>
          <w:lang w:val="en-US" w:eastAsia="zh-CN" w:bidi="ar"/>
        </w:rPr>
        <w:t xml:space="preserve"> </w:t>
      </w:r>
      <w:r>
        <w:rPr>
          <w:rFonts w:ascii="宋体" w:hAnsi="宋体" w:eastAsia="宋体" w:cs="宋体"/>
          <w:b w:val="0"/>
          <w:bCs w:val="0"/>
          <w:i w:val="0"/>
          <w:iCs w:val="0"/>
          <w:caps w:val="0"/>
          <w:color w:val="135194"/>
          <w:spacing w:val="0"/>
          <w:kern w:val="0"/>
          <w:sz w:val="36"/>
          <w:szCs w:val="36"/>
          <w:lang w:val="en-US" w:eastAsia="zh-CN" w:bidi="ar"/>
        </w:rPr>
        <w:t>管理中未成年人保护工作的通知》政策解</w:t>
      </w:r>
      <w:bookmarkStart w:id="0" w:name="_GoBack"/>
      <w:bookmarkEnd w:id="0"/>
      <w:r>
        <w:rPr>
          <w:rFonts w:ascii="宋体" w:hAnsi="宋体" w:eastAsia="宋体" w:cs="宋体"/>
          <w:b w:val="0"/>
          <w:bCs w:val="0"/>
          <w:i w:val="0"/>
          <w:iCs w:val="0"/>
          <w:caps w:val="0"/>
          <w:color w:val="135194"/>
          <w:spacing w:val="0"/>
          <w:kern w:val="0"/>
          <w:sz w:val="36"/>
          <w:szCs w:val="36"/>
          <w:lang w:val="en-US" w:eastAsia="zh-CN" w:bidi="ar"/>
        </w:rPr>
        <w:t>读</w:t>
      </w:r>
    </w:p>
    <w:p w14:paraId="0BBA1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近日，文化和旅游部、公安部出台了《文化和旅游部 公安部关于加强电竞酒店管理中未成年人保护工作的通知》（以下简称《通知》），现将有关政策解读如下。</w:t>
      </w:r>
    </w:p>
    <w:p w14:paraId="6F442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一、《通知》出台的背景是什么？</w:t>
      </w:r>
    </w:p>
    <w:p w14:paraId="34ED5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近年来，电竞酒店行业快速发展，在满足群众需求、扩大消费等方面起到了积极作用，但同时也存在接纳未成年人等引发社会关注的问题。全国人大代表、政协委员多次提出关于禁止电竞酒店接待未成年人的建议，有地方检察院就电竞酒店接待未成年人问题提起公益性诉讼，中央电视台等主流媒体呼吁政府部门加强电竞酒店管理中未成年人保护工作。</w:t>
      </w:r>
    </w:p>
    <w:p w14:paraId="79A67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二、电竞酒店和网吧有什么区别？</w:t>
      </w:r>
    </w:p>
    <w:p w14:paraId="66BC6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电竞酒店是指通过设置电竞房向消费者提供电子竞技娱乐服务的新型住宿业态，包括所有客房均为电竞房的专业电竞酒店和利用部分客房开设电竞房区域的非专业电竞酒店。电竞酒店未取得特种行业许可证，擅自经营旅馆业的，由公安机关依照《中华人民共和国治安管理处罚法》第五十四条予以处罚，并对非法经营行为予以取缔。</w:t>
      </w:r>
    </w:p>
    <w:p w14:paraId="7C46A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网吧即互联网上网服务营业场所，是指通过计算机等装置向公众提供互联网上网服务的网吧、电脑休闲室等营业性场所，应取得文化行政部门发放《网络文化经营许可证》。</w:t>
      </w:r>
    </w:p>
    <w:p w14:paraId="7D146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三、《通知》有哪些主要内容？</w:t>
      </w:r>
    </w:p>
    <w:p w14:paraId="0014C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通知》共十五条，坚持包容审慎和“小切口”监管。一是明确业态属性。根据电竞酒店容易产生未成年人沉迷网络问题的特点，将其定性为不适宜未成年人活动的场所。二是明确监管依据。根据《中华人民共和国未成年人保护法》第五十八条规定，严禁专业电竞酒店和非专业电竞酒店的电竞房区域接待未成年人。三是建立事中监管制度。要求电竞酒店经营者强化主体责任，严格落实设置禁入标志、履行告知义务、落实“五必须”、实施网络安全技术措施、图像采集技术措施、建立巡查制度等防范未成年人进入电竞房的系列监管制度。四是加强协同监管。要求文旅部门和公安机关建立协同监管机制，相互通报线索，并按职责对违规行为进行处罚。</w:t>
      </w:r>
    </w:p>
    <w:p w14:paraId="6A19E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四、为什么要区分专业电竞酒店和非专业电竞酒店？</w:t>
      </w:r>
    </w:p>
    <w:p w14:paraId="0319F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专业电竞酒店是所有客房均为电竞房的酒店。非专业电竞酒店主要是传统酒店拿出部分客房做电竞房，电竞房比例一般较低，其顾客包括有家长或者监护人陪同的未成年人等。根据现实情况，《通知》将电竞酒店分为专业电竞酒店和非专业电竞酒店，并明确规定不得允许未成年人进入专业电竞酒店和非专业电竞酒店的电竞房区域，同时采取相应的监管措施。《通知》实施分类管理，将所有类型电竞酒店都纳入监管，既考虑了行业的实际特点，又实现了对电竞酒店未成年人保护的全覆盖。</w:t>
      </w:r>
    </w:p>
    <w:p w14:paraId="0E565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五、为什么对电竞酒店床位和计算机数量做出规定？</w:t>
      </w:r>
    </w:p>
    <w:p w14:paraId="5AF3E2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通知》规定电竞酒店电竞房的床位数不得超过6张，计算机数量和入住人员不得超过床位数，主要考虑：一是人员数量太多易引发治安、安全生产等问题，二是现有主要电竞游戏，一般为5-6人组队，多数电竞酒店设有5人或者6人间。三是前期部分地方出台的政策规定床位数不得超过6张，从执行看符合实际。综上，规定床位数设置最多不得超过6张符合行业发展实际，规定计算机数量和入住人员不得超过床位数有利于降低安全风险。</w:t>
      </w:r>
    </w:p>
    <w:p w14:paraId="46F92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六、对于电竞酒店经营者强化主体责任有什么具体要求？</w:t>
      </w:r>
    </w:p>
    <w:p w14:paraId="38724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一是要设置禁入标志。专业电竞酒店经营者应当在酒店入口处的显著位置悬挂未成年人禁入标志；非专业电竞酒店经营者应当在相近楼层集中设置电竞房并划定电竞房区域，在电竞房区域入口处的显著位置悬挂未成年人禁入标志。二是要履行告知义务。电竞酒店经营者应当在消费者预定、入住等环节明确告知其电竞房区域不接待未成年人；通过电子商务平台等开展客房预定的，应当以显著方式提示消费者电竞房区域不接待未成年人。电子商务平台经营者应当核验电竞酒店提示信息。三是要落实“五必须”规定。电竞酒店非电竞房区域接待未成年人入住时,经营者应当严格执行公安机关有关要求，落实“五必须”规定。四是要实施网络安全技术措施。电竞酒店经营者应当依法制定信息网络安全管理制度和应急处置预案，实施互联网安全保护技术措施。五是要实施图像采集技术措施。电竞酒店经营者应当按照有关规定安装图像采集设备并设置采集区域提示标识，加强检查值守，发现有未成年人违规进入电竞房区域的，要及时劝阻并联系其父母或者其他监护人。六是要建立日常巡查制度。发现有未成年人违规进入、未实名登记擅自进入等违法行为的，应当立即制止并分别向所在地县级文化和旅游行政部门、公安机关报告。</w:t>
      </w:r>
    </w:p>
    <w:p w14:paraId="1E17E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19"/>
          <w:szCs w:val="19"/>
          <w:lang w:val="en-US" w:eastAsia="zh-CN" w:bidi="ar"/>
        </w:rPr>
        <w:t>七、相关部门如何协同加强电竞酒店监管工作？</w:t>
      </w:r>
    </w:p>
    <w:p w14:paraId="5CA591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6" w:lineRule="atLeast"/>
        <w:ind w:left="0" w:leftChars="0" w:right="552" w:firstLine="404" w:firstLineChars="213"/>
        <w:jc w:val="both"/>
        <w:rPr>
          <w:rFonts w:hint="eastAsia" w:ascii="宋体" w:hAnsi="宋体" w:eastAsia="宋体" w:cs="宋体"/>
          <w:color w:val="333333"/>
          <w:sz w:val="19"/>
          <w:szCs w:val="19"/>
        </w:rPr>
      </w:pPr>
      <w:r>
        <w:rPr>
          <w:rFonts w:hint="eastAsia" w:ascii="宋体" w:hAnsi="宋体" w:eastAsia="宋体" w:cs="宋体"/>
          <w:i w:val="0"/>
          <w:iCs w:val="0"/>
          <w:caps w:val="0"/>
          <w:color w:val="333333"/>
          <w:spacing w:val="0"/>
          <w:sz w:val="19"/>
          <w:szCs w:val="19"/>
        </w:rPr>
        <w:t>地方各级文化和旅游行政部门、公安机关应当会同相关部门，建立电竞酒店未成年人保护协同监管机制，加强信息通报、线索移送、执法联动等工作，引导督促经营者严格落实实名登记、设置未成年人禁入标志、禁止违规接待未成年人等要求，依法查处违规经营行为。公安机关在工作中发现电竞酒店经营者违规接待未成年人的，及时通报文化和旅游行政部门依法查处；文化和旅游行政部门在工作中发现电竞酒店经营者未落实实名登记及“五必须”规定的，及时通报公安机关依法查处。 </w:t>
      </w:r>
    </w:p>
    <w:p w14:paraId="14DAEFA5">
      <w:pPr>
        <w:ind w:left="0" w:leftChars="0" w:firstLine="511" w:firstLineChars="21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31DF6"/>
    <w:multiLevelType w:val="singleLevel"/>
    <w:tmpl w:val="61431DF6"/>
    <w:lvl w:ilvl="0" w:tentative="0">
      <w:start w:val="1"/>
      <w:numFmt w:val="decimal"/>
      <w:pStyle w:val="18"/>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MjFkMzM2YzNlOTkwZDhiMTllNGI4Mzc3Y2ExZjAifQ=="/>
  </w:docVars>
  <w:rsids>
    <w:rsidRoot w:val="00000000"/>
    <w:rsid w:val="04D94B9F"/>
    <w:rsid w:val="0636122E"/>
    <w:rsid w:val="0DE67374"/>
    <w:rsid w:val="130E15D4"/>
    <w:rsid w:val="151E0697"/>
    <w:rsid w:val="180E4B97"/>
    <w:rsid w:val="1D721769"/>
    <w:rsid w:val="205B0707"/>
    <w:rsid w:val="22C31AFD"/>
    <w:rsid w:val="2C86459A"/>
    <w:rsid w:val="2ED72C62"/>
    <w:rsid w:val="2F8037F4"/>
    <w:rsid w:val="36703723"/>
    <w:rsid w:val="40004226"/>
    <w:rsid w:val="43CE1B59"/>
    <w:rsid w:val="48E66D5E"/>
    <w:rsid w:val="490149C0"/>
    <w:rsid w:val="4AD22F49"/>
    <w:rsid w:val="55FC02E8"/>
    <w:rsid w:val="56B31286"/>
    <w:rsid w:val="5D38043B"/>
    <w:rsid w:val="5D40082C"/>
    <w:rsid w:val="66253E9A"/>
    <w:rsid w:val="70BB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keepNext/>
      <w:keepLines/>
      <w:spacing w:before="160" w:beforeLines="0" w:beforeAutospacing="0" w:after="170" w:afterLines="0" w:afterAutospacing="0" w:line="372" w:lineRule="auto"/>
      <w:outlineLvl w:val="3"/>
    </w:pPr>
    <w:rPr>
      <w:rFonts w:ascii="Arial" w:hAnsi="Arial" w:eastAsia="黑体"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新大 图名"/>
    <w:basedOn w:val="1"/>
    <w:qFormat/>
    <w:uiPriority w:val="0"/>
    <w:pPr>
      <w:spacing w:before="120" w:after="240" w:line="240" w:lineRule="auto"/>
      <w:ind w:firstLine="0" w:firstLineChars="0"/>
      <w:jc w:val="center"/>
    </w:pPr>
    <w:rPr>
      <w:rFonts w:hint="default" w:ascii="Times New Roman" w:hAnsi="Times New Roman" w:eastAsia="宋体" w:cs="Times New Roman"/>
      <w:sz w:val="22"/>
    </w:rPr>
  </w:style>
  <w:style w:type="paragraph" w:customStyle="1" w:styleId="9">
    <w:name w:val="新大 表格内"/>
    <w:basedOn w:val="1"/>
    <w:uiPriority w:val="0"/>
    <w:pPr>
      <w:wordWrap w:val="0"/>
      <w:spacing w:before="60" w:after="60" w:line="240" w:lineRule="auto"/>
      <w:ind w:firstLine="0" w:firstLineChars="0"/>
      <w:jc w:val="center"/>
    </w:pPr>
    <w:rPr>
      <w:rFonts w:ascii="Times New Roman" w:hAnsi="Times New Roman" w:eastAsia="宋体" w:cs="Times New Roman"/>
      <w:sz w:val="22"/>
    </w:rPr>
  </w:style>
  <w:style w:type="paragraph" w:customStyle="1" w:styleId="10">
    <w:name w:val="新大 表格下 资料来源"/>
    <w:basedOn w:val="1"/>
    <w:autoRedefine/>
    <w:qFormat/>
    <w:uiPriority w:val="0"/>
    <w:pPr>
      <w:wordWrap w:val="0"/>
      <w:spacing w:before="120" w:after="240" w:line="240" w:lineRule="auto"/>
      <w:ind w:firstLine="0" w:firstLineChars="0"/>
      <w:jc w:val="left"/>
    </w:pPr>
    <w:rPr>
      <w:rFonts w:hint="eastAsia" w:ascii="Times New Roman" w:hAnsi="Times New Roman" w:eastAsia="宋体" w:cs="Times New Roman"/>
      <w:sz w:val="21"/>
    </w:rPr>
  </w:style>
  <w:style w:type="paragraph" w:customStyle="1" w:styleId="11">
    <w:name w:val="1.1.1.1三级节标题"/>
    <w:basedOn w:val="12"/>
    <w:qFormat/>
    <w:uiPriority w:val="0"/>
    <w:rPr>
      <w:sz w:val="24"/>
    </w:rPr>
  </w:style>
  <w:style w:type="paragraph" w:customStyle="1" w:styleId="12">
    <w:name w:val="1.1.1二级节标题"/>
    <w:basedOn w:val="1"/>
    <w:next w:val="1"/>
    <w:qFormat/>
    <w:uiPriority w:val="0"/>
    <w:pPr>
      <w:spacing w:before="240" w:after="120"/>
      <w:ind w:firstLine="0" w:firstLineChars="0"/>
      <w:jc w:val="left"/>
    </w:pPr>
    <w:rPr>
      <w:rFonts w:hint="eastAsia" w:ascii="Times New Roman" w:hAnsi="Times New Roman" w:eastAsia="黑体" w:cs="Times New Roman"/>
      <w:sz w:val="26"/>
    </w:rPr>
  </w:style>
  <w:style w:type="paragraph" w:customStyle="1" w:styleId="13">
    <w:name w:val="新大表名"/>
    <w:basedOn w:val="1"/>
    <w:qFormat/>
    <w:uiPriority w:val="0"/>
    <w:pPr>
      <w:spacing w:before="240" w:after="120" w:line="240" w:lineRule="auto"/>
      <w:ind w:firstLine="0" w:firstLineChars="0"/>
      <w:jc w:val="center"/>
    </w:pPr>
    <w:rPr>
      <w:rFonts w:ascii="Times New Roman" w:hAnsi="Times New Roman" w:eastAsia="宋体" w:cs="宋体"/>
      <w:color w:val="000000"/>
      <w:sz w:val="22"/>
      <w:szCs w:val="18"/>
      <w:u w:val="none"/>
    </w:rPr>
  </w:style>
  <w:style w:type="paragraph" w:customStyle="1" w:styleId="14">
    <w:name w:val="1章节标题"/>
    <w:basedOn w:val="1"/>
    <w:link w:val="15"/>
    <w:autoRedefine/>
    <w:qFormat/>
    <w:uiPriority w:val="0"/>
    <w:pPr>
      <w:spacing w:before="480" w:after="360"/>
      <w:jc w:val="center"/>
    </w:pPr>
    <w:rPr>
      <w:rFonts w:hint="eastAsia" w:ascii="Times New Roman" w:hAnsi="Times New Roman" w:eastAsia="黑体" w:cs="Times New Roman"/>
      <w:sz w:val="32"/>
    </w:rPr>
  </w:style>
  <w:style w:type="character" w:customStyle="1" w:styleId="15">
    <w:name w:val="1章节标题 Char"/>
    <w:link w:val="14"/>
    <w:qFormat/>
    <w:uiPriority w:val="0"/>
    <w:rPr>
      <w:rFonts w:hint="eastAsia" w:ascii="Times New Roman" w:hAnsi="Times New Roman" w:eastAsia="黑体" w:cs="Times New Roman"/>
      <w:sz w:val="32"/>
    </w:rPr>
  </w:style>
  <w:style w:type="paragraph" w:customStyle="1" w:styleId="16">
    <w:name w:val="1.1一级节标题"/>
    <w:basedOn w:val="1"/>
    <w:next w:val="1"/>
    <w:link w:val="17"/>
    <w:autoRedefine/>
    <w:qFormat/>
    <w:uiPriority w:val="0"/>
    <w:pPr>
      <w:spacing w:before="480" w:after="120"/>
      <w:ind w:firstLine="0" w:firstLineChars="0"/>
      <w:jc w:val="left"/>
    </w:pPr>
    <w:rPr>
      <w:rFonts w:ascii="Calibri" w:hAnsi="Calibri" w:eastAsia="黑体" w:cs="Times New Roman"/>
      <w:sz w:val="28"/>
    </w:rPr>
  </w:style>
  <w:style w:type="character" w:customStyle="1" w:styleId="17">
    <w:name w:val="1.1一级节标题 Char"/>
    <w:link w:val="16"/>
    <w:autoRedefine/>
    <w:qFormat/>
    <w:uiPriority w:val="0"/>
    <w:rPr>
      <w:rFonts w:ascii="Calibri" w:hAnsi="Calibri" w:eastAsia="黑体" w:cs="Times New Roman"/>
      <w:sz w:val="28"/>
    </w:rPr>
  </w:style>
  <w:style w:type="paragraph" w:customStyle="1" w:styleId="18">
    <w:name w:val="参考文献"/>
    <w:basedOn w:val="1"/>
    <w:qFormat/>
    <w:uiPriority w:val="0"/>
    <w:pPr>
      <w:numPr>
        <w:ilvl w:val="0"/>
        <w:numId w:val="1"/>
      </w:numPr>
      <w:spacing w:before="60" w:line="320" w:lineRule="exact"/>
      <w:ind w:left="425" w:hanging="425" w:firstLineChars="0"/>
    </w:pPr>
    <w:rPr>
      <w:rFonts w:cs="Times New Roman"/>
      <w:sz w:val="21"/>
    </w:rPr>
  </w:style>
  <w:style w:type="paragraph" w:customStyle="1" w:styleId="19">
    <w:name w:val="新大 下方资料来源"/>
    <w:basedOn w:val="1"/>
    <w:link w:val="20"/>
    <w:qFormat/>
    <w:uiPriority w:val="0"/>
    <w:pPr>
      <w:wordWrap w:val="0"/>
      <w:spacing w:before="120" w:after="240" w:line="240" w:lineRule="auto"/>
      <w:ind w:firstLine="0" w:firstLineChars="0"/>
      <w:jc w:val="left"/>
    </w:pPr>
    <w:rPr>
      <w:rFonts w:hint="eastAsia" w:cs="Times New Roman"/>
      <w:sz w:val="21"/>
    </w:rPr>
  </w:style>
  <w:style w:type="character" w:customStyle="1" w:styleId="20">
    <w:name w:val="新大 表格下 资料来源 Char"/>
    <w:link w:val="19"/>
    <w:qFormat/>
    <w:uiPriority w:val="0"/>
    <w:rPr>
      <w:rFonts w:hint="eastAsia"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2033</Words>
  <Characters>2035</Characters>
  <Lines>0</Lines>
  <Paragraphs>0</Paragraphs>
  <TotalTime>86</TotalTime>
  <ScaleCrop>false</ScaleCrop>
  <LinksUpToDate>false</LinksUpToDate>
  <CharactersWithSpaces>2040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73754</dc:creator>
  <cp:lastModifiedBy>宏达</cp:lastModifiedBy>
  <dcterms:modified xsi:type="dcterms:W3CDTF">2024-09-11T02:54:11Z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8F73D4DD10594D0EB3374290F93314B0_12</vt:lpwstr>
  </property>
</Properties>
</file>